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 xml:space="preserve">officers with rural development </w:t>
            </w:r>
            <w:proofErr w:type="spellStart"/>
            <w:r>
              <w:rPr>
                <w:rFonts w:ascii="Century Gothic" w:hAnsi="Century Gothic" w:cs="Arial"/>
                <w:sz w:val="22"/>
                <w:szCs w:val="22"/>
              </w:rPr>
              <w:t>background.i.e</w:t>
            </w:r>
            <w:proofErr w:type="spellEnd"/>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towards 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xml:space="preserve">) for conductingFinancial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proofErr w:type="spellStart"/>
      <w:r>
        <w:rPr>
          <w:rFonts w:ascii="Century Gothic" w:hAnsi="Century Gothic" w:cs="Arial"/>
        </w:rPr>
        <w:t>Zonal</w:t>
      </w:r>
      <w:proofErr w:type="spellEnd"/>
      <w:r>
        <w:rPr>
          <w:rFonts w:ascii="Century Gothic" w:hAnsi="Century Gothic" w:cs="Arial"/>
        </w:rPr>
        <w:t xml:space="preserve">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proofErr w:type="spellStart"/>
      <w:r w:rsidR="00142131">
        <w:rPr>
          <w:rFonts w:ascii="Century Gothic" w:hAnsi="Century Gothic" w:cs="Arial"/>
        </w:rPr>
        <w:t>Zonal</w:t>
      </w:r>
      <w:proofErr w:type="spellEnd"/>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 xml:space="preserve">respective </w:t>
      </w:r>
      <w:proofErr w:type="spellStart"/>
      <w:r w:rsidR="00BB6DDF">
        <w:rPr>
          <w:rFonts w:ascii="Century Gothic" w:hAnsi="Century Gothic" w:cs="Arial"/>
        </w:rPr>
        <w:t>Zonal</w:t>
      </w:r>
      <w:proofErr w:type="spellEnd"/>
      <w:r w:rsidR="00BB6DDF">
        <w:rPr>
          <w:rFonts w:ascii="Century Gothic" w:hAnsi="Century Gothic" w:cs="Arial"/>
        </w:rPr>
        <w:t xml:space="preserve">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r w:rsidRPr="00FB17C8">
        <w:rPr>
          <w:rFonts w:ascii="Century Gothic" w:hAnsi="Century Gothic" w:cs="Arial"/>
          <w:b/>
          <w:sz w:val="22"/>
          <w:szCs w:val="22"/>
        </w:rPr>
        <w:t>:-</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programme in collaboration with CAB, Pune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 xml:space="preserve">Each SLBC Convener bank should update the data base on Financial Literacy Centres through their SLBC/ UTLBC Website on areal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 xml:space="preserve">Bank, a Government of India Enterprise, invites applications from interested candidates who are retired/VRS </w:t>
            </w:r>
            <w:proofErr w:type="spellStart"/>
            <w:r w:rsidRPr="002421FC">
              <w:rPr>
                <w:rFonts w:ascii="Century Gothic" w:eastAsia="Times New Roman" w:hAnsi="Century Gothic" w:cs="Arial"/>
              </w:rPr>
              <w:t>optee</w:t>
            </w:r>
            <w:proofErr w:type="spellEnd"/>
            <w:r w:rsidRPr="002421FC">
              <w:rPr>
                <w:rFonts w:ascii="Century Gothic" w:eastAsia="Times New Roman" w:hAnsi="Century Gothic" w:cs="Arial"/>
              </w:rPr>
              <w:t xml:space="preserve"> not below the rank of a Manager</w:t>
            </w:r>
            <w:r w:rsidR="008712B4">
              <w:rPr>
                <w:rFonts w:ascii="Century Gothic" w:eastAsia="Times New Roman" w:hAnsi="Century Gothic" w:cs="Arial"/>
              </w:rPr>
              <w:t xml:space="preserve"> (Scale-2)</w:t>
            </w:r>
            <w:r w:rsidRPr="002421FC">
              <w:rPr>
                <w:rFonts w:ascii="Century Gothic" w:eastAsia="Times New Roman" w:hAnsi="Century Gothic" w:cs="Arial"/>
              </w:rPr>
              <w:t xml:space="preserve">,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C70A90">
              <w:rPr>
                <w:rFonts w:ascii="Century Gothic" w:eastAsia="Times New Roman" w:hAnsi="Century Gothic" w:cs="Arial"/>
              </w:rPr>
              <w:t xml:space="preserve">n of online application:  </w:t>
            </w:r>
            <w:r w:rsidR="00FF3B2C" w:rsidRPr="00FF3B2C">
              <w:rPr>
                <w:rFonts w:ascii="Century Gothic" w:eastAsia="Times New Roman" w:hAnsi="Century Gothic" w:cs="Arial"/>
                <w:b/>
              </w:rPr>
              <w:t>08</w:t>
            </w:r>
            <w:r w:rsidR="00FF3B2C">
              <w:rPr>
                <w:rFonts w:ascii="Century Gothic" w:eastAsia="Times New Roman" w:hAnsi="Century Gothic" w:cs="Arial"/>
                <w:b/>
              </w:rPr>
              <w:t>.09</w:t>
            </w:r>
            <w:r w:rsidR="00C70A90" w:rsidRPr="00C70A90">
              <w:rPr>
                <w:rFonts w:ascii="Century Gothic" w:eastAsia="Times New Roman" w:hAnsi="Century Gothic" w:cs="Arial"/>
                <w:b/>
              </w:rPr>
              <w:t>.202</w:t>
            </w:r>
            <w:r w:rsidR="00FF3B2C">
              <w:rPr>
                <w:rFonts w:ascii="Century Gothic" w:eastAsia="Times New Roman" w:hAnsi="Century Gothic" w:cs="Arial"/>
                <w:b/>
              </w:rPr>
              <w:t>3</w:t>
            </w:r>
          </w:p>
          <w:p w:rsidR="00992FB0" w:rsidRPr="002421FC" w:rsidRDefault="00992FB0" w:rsidP="008A31D0">
            <w:pPr>
              <w:spacing w:after="0" w:line="300" w:lineRule="auto"/>
              <w:rPr>
                <w:rFonts w:ascii="Century Gothic" w:eastAsia="Times New Roman" w:hAnsi="Century Gothic" w:cs="Arial"/>
              </w:rPr>
            </w:pPr>
            <w:bookmarkStart w:id="0" w:name="_GoBack"/>
            <w:bookmarkEnd w:id="0"/>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F278B">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Pr>
                <w:rFonts w:ascii="Century Gothic" w:eastAsia="Times New Roman" w:hAnsi="Century Gothic" w:cs="Arial"/>
                <w:b/>
              </w:rPr>
              <w:t>General 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082890" w:rsidP="00992FB0">
      <w:pPr>
        <w:tabs>
          <w:tab w:val="left" w:pos="2970"/>
        </w:tabs>
        <w:spacing w:after="0" w:line="240" w:lineRule="auto"/>
        <w:jc w:val="center"/>
        <w:rPr>
          <w:rFonts w:ascii="Century Gothic" w:eastAsia="Times New Roman" w:hAnsi="Century Gothic"/>
          <w:bCs/>
        </w:rPr>
      </w:pPr>
      <w:r w:rsidRPr="00082890">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 xml:space="preserve">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FB0"/>
    <w:rsid w:val="00082890"/>
    <w:rsid w:val="000E4638"/>
    <w:rsid w:val="00136D90"/>
    <w:rsid w:val="00142131"/>
    <w:rsid w:val="001767C1"/>
    <w:rsid w:val="001D4679"/>
    <w:rsid w:val="002271F9"/>
    <w:rsid w:val="002B489F"/>
    <w:rsid w:val="002D7EC8"/>
    <w:rsid w:val="00340225"/>
    <w:rsid w:val="00387CD6"/>
    <w:rsid w:val="003B5B57"/>
    <w:rsid w:val="004361A1"/>
    <w:rsid w:val="004830F8"/>
    <w:rsid w:val="004B4F17"/>
    <w:rsid w:val="004D6619"/>
    <w:rsid w:val="00596A51"/>
    <w:rsid w:val="005A5C30"/>
    <w:rsid w:val="00636C31"/>
    <w:rsid w:val="00762A65"/>
    <w:rsid w:val="00797111"/>
    <w:rsid w:val="007C6654"/>
    <w:rsid w:val="007E13A0"/>
    <w:rsid w:val="00810C4D"/>
    <w:rsid w:val="0082518F"/>
    <w:rsid w:val="008712B4"/>
    <w:rsid w:val="00874C7F"/>
    <w:rsid w:val="008E672B"/>
    <w:rsid w:val="008F278B"/>
    <w:rsid w:val="00992FB0"/>
    <w:rsid w:val="00A17BEF"/>
    <w:rsid w:val="00AC53C4"/>
    <w:rsid w:val="00B42625"/>
    <w:rsid w:val="00B43DBD"/>
    <w:rsid w:val="00BB6DDF"/>
    <w:rsid w:val="00BC1957"/>
    <w:rsid w:val="00BE2D19"/>
    <w:rsid w:val="00C06AFA"/>
    <w:rsid w:val="00C35CD2"/>
    <w:rsid w:val="00C42A39"/>
    <w:rsid w:val="00C70A90"/>
    <w:rsid w:val="00D209F4"/>
    <w:rsid w:val="00E05A9E"/>
    <w:rsid w:val="00E46BD9"/>
    <w:rsid w:val="00E56769"/>
    <w:rsid w:val="00EE3CA1"/>
    <w:rsid w:val="00F35E42"/>
    <w:rsid w:val="00FF3B2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3154</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61712</cp:lastModifiedBy>
  <cp:revision>2</cp:revision>
  <cp:lastPrinted>2022-11-14T10:58:00Z</cp:lastPrinted>
  <dcterms:created xsi:type="dcterms:W3CDTF">2024-04-03T06:08:00Z</dcterms:created>
  <dcterms:modified xsi:type="dcterms:W3CDTF">2024-04-03T06:08:00Z</dcterms:modified>
</cp:coreProperties>
</file>